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02AE9" w14:textId="6DBEB667" w:rsidR="0089785C" w:rsidRDefault="0089785C" w:rsidP="0089785C">
      <w:pPr>
        <w:bidi/>
        <w:rPr>
          <w:rFonts w:cs="B Mitra"/>
          <w:sz w:val="28"/>
          <w:szCs w:val="28"/>
          <w:rtl/>
        </w:rPr>
      </w:pPr>
      <w:bookmarkStart w:id="0" w:name="لزوم_مصلحت"/>
      <w:r w:rsidRPr="0089785C">
        <w:rPr>
          <w:rFonts w:cs="B Mitra"/>
          <w:sz w:val="28"/>
          <w:szCs w:val="28"/>
          <w:rtl/>
        </w:rPr>
        <w:t>لزوم مصلحت</w:t>
      </w:r>
      <w:bookmarkEnd w:id="0"/>
      <w:r w:rsidR="00C1423E">
        <w:rPr>
          <w:rFonts w:cs="B Mitra" w:hint="cs"/>
          <w:sz w:val="28"/>
          <w:szCs w:val="28"/>
          <w:rtl/>
        </w:rPr>
        <w:t>(در آتش بس)</w:t>
      </w:r>
      <w:r w:rsidRPr="0089785C">
        <w:rPr>
          <w:rFonts w:cs="B Mitra"/>
          <w:sz w:val="28"/>
          <w:szCs w:val="28"/>
        </w:rPr>
        <w:t xml:space="preserve"> 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جواز مهادنه مشروط به آن است که فی‏الجمله مصلحت داشته باشد. ظاهرا عقل به صراحت‏حکم می‏کند که این شرط مقتضای حکمت است. هم‏چنین از مناسبت‏حکم و موضوع این شرط مستفاد می‏گردد. آیات و روایات بسیاری، به صراحت از مسلمانان می‏خواهند تا با دشمنان جهاد کنند و آنان را به قتال در راه خدا تشویق و در صورت ترک این فریضه آنان را سخت تهدید می‏کنند. سپس آیه‏ای و یا آیاتی فرمان به پذیرش صلح می‏دهند. لذا در چنین وضعی نمی‏توان مدعی شد که صلح در هر زمان -اگرچه بدان نیازمند نباشیم و مصلحتی در آن نباشد و حتی مصلحت در ترک آن باشد جایز است. زیرا لازمه این ادعا بیهوده بودن آن همه تاکید و تهدید و وعید است و در نتیجه کار بدان‏جا می‏رسد که گفته شود این اوامر اکید درباره جهاد در قرآن کریم، شامل حکم الزامی نیست و صرفا گویای جواز جنگ با دشمن است و این که جنگ کار ممنوعی نیست و راجح است</w:t>
      </w:r>
      <w:r w:rsidRPr="0089785C">
        <w:rPr>
          <w:rFonts w:cs="B Mitra"/>
          <w:sz w:val="28"/>
          <w:szCs w:val="28"/>
        </w:rPr>
        <w:t xml:space="preserve">. </w:t>
      </w:r>
      <w:r w:rsidRPr="0089785C">
        <w:rPr>
          <w:rFonts w:cs="B Mitra"/>
          <w:sz w:val="28"/>
          <w:szCs w:val="28"/>
          <w:rtl/>
        </w:rPr>
        <w:t>حال آن‏که این ادعا و نتیجه آن خلاف مقتضای حکمت و برخلاف سخن حکیمانه خداوندعزوجل است</w:t>
      </w:r>
      <w:r w:rsidRPr="0089785C">
        <w:rPr>
          <w:rFonts w:cs="B Mitra"/>
          <w:sz w:val="28"/>
          <w:szCs w:val="28"/>
        </w:rPr>
        <w:t>.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لذا با توجه به آیاتی که در باب جهاد نازل شده است و هم‏چنین از مناسبات عرفی میان حکم و موضوع، می‏توان نتیجه گرفت که مصالحه با دشمن جنگی، همیشه و در هر شرایطی جایز نیست، بلکه جواز آن مشروط به پدید آمدن شرایط و اوضاعی است که از آن به «</w:t>
      </w:r>
      <w:r w:rsidRPr="0089785C">
        <w:rPr>
          <w:rFonts w:cs="B Mitra"/>
          <w:b/>
          <w:bCs/>
          <w:sz w:val="28"/>
          <w:szCs w:val="28"/>
          <w:rtl/>
        </w:rPr>
        <w:t>مصلحت</w:t>
      </w:r>
      <w:r w:rsidRPr="0089785C">
        <w:rPr>
          <w:rFonts w:cs="B Mitra"/>
          <w:sz w:val="28"/>
          <w:szCs w:val="28"/>
          <w:rtl/>
        </w:rPr>
        <w:t>‏» تعبیر می‏کنیم</w:t>
      </w:r>
      <w:r w:rsidRPr="0089785C">
        <w:rPr>
          <w:rFonts w:cs="B Mitra"/>
          <w:sz w:val="28"/>
          <w:szCs w:val="28"/>
        </w:rPr>
        <w:t xml:space="preserve">. 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علاوه بر این، می‏توان لزوم مصلحت را از آیاتی که ظاهرشان دال بر منع از مسالمت و مدارا و دوستی با دشمنان جنگی است، استنباط کرد</w:t>
      </w:r>
      <w:r w:rsidRPr="0089785C">
        <w:rPr>
          <w:rFonts w:cs="B Mitra"/>
          <w:sz w:val="28"/>
          <w:szCs w:val="28"/>
        </w:rPr>
        <w:t xml:space="preserve"> </w:t>
      </w:r>
    </w:p>
    <w:p w14:paraId="0A967DA0" w14:textId="44847954" w:rsidR="0089785C" w:rsidRDefault="0089785C" w:rsidP="0089785C">
      <w:pPr>
        <w:bidi/>
        <w:rPr>
          <w:rFonts w:cs="B Mitra"/>
          <w:sz w:val="28"/>
          <w:szCs w:val="28"/>
          <w:rtl/>
        </w:rPr>
      </w:pPr>
      <w:r w:rsidRPr="0089785C">
        <w:rPr>
          <w:rFonts w:cs="B Mitra"/>
          <w:sz w:val="28"/>
          <w:szCs w:val="28"/>
          <w:rtl/>
        </w:rPr>
        <w:t>خداوند متعال می‏فرماید: «فلا تهنوا و تدعوا الی السلم و انتم الاعلون; یعنی در حالی که برتر هستید، سست مشوید و به صلح دعوت مکنید</w:t>
      </w:r>
      <w:r w:rsidRPr="0089785C">
        <w:rPr>
          <w:rFonts w:cs="B Mitra"/>
          <w:sz w:val="28"/>
          <w:szCs w:val="28"/>
        </w:rPr>
        <w:t>.</w:t>
      </w:r>
      <w:r>
        <w:rPr>
          <w:rFonts w:cs="B Mitra" w:hint="cs"/>
          <w:sz w:val="28"/>
          <w:szCs w:val="28"/>
          <w:rtl/>
        </w:rPr>
        <w:t>»(سوره محمد آیه 35)</w:t>
      </w:r>
    </w:p>
    <w:p w14:paraId="39E38915" w14:textId="47756CA9" w:rsidR="00C1423E" w:rsidRDefault="0089785C" w:rsidP="0089785C">
      <w:pPr>
        <w:bidi/>
        <w:rPr>
          <w:rFonts w:cs="B Mitra"/>
          <w:sz w:val="28"/>
          <w:szCs w:val="28"/>
          <w:rtl/>
        </w:rPr>
      </w:pPr>
      <w:r w:rsidRPr="0089785C">
        <w:rPr>
          <w:rFonts w:cs="B Mitra"/>
          <w:sz w:val="28"/>
          <w:szCs w:val="28"/>
        </w:rPr>
        <w:t xml:space="preserve"> </w:t>
      </w:r>
      <w:r w:rsidRPr="0089785C">
        <w:rPr>
          <w:rFonts w:cs="B Mitra"/>
          <w:sz w:val="28"/>
          <w:szCs w:val="28"/>
          <w:rtl/>
        </w:rPr>
        <w:t>هم‏چنین می‏فرماید</w:t>
      </w:r>
      <w:r w:rsidRPr="0089785C">
        <w:rPr>
          <w:rFonts w:cs="B Mitra"/>
          <w:sz w:val="28"/>
          <w:szCs w:val="28"/>
        </w:rPr>
        <w:t xml:space="preserve">: </w:t>
      </w:r>
      <w:r w:rsidRPr="0089785C">
        <w:rPr>
          <w:rFonts w:cs="B Mitra"/>
          <w:sz w:val="28"/>
          <w:szCs w:val="28"/>
        </w:rPr>
        <w:br/>
      </w:r>
      <w:r>
        <w:rPr>
          <w:rFonts w:cs="B Mitra" w:hint="cs"/>
          <w:sz w:val="28"/>
          <w:szCs w:val="28"/>
          <w:rtl/>
        </w:rPr>
        <w:t>«</w:t>
      </w:r>
      <w:r w:rsidRPr="0089785C">
        <w:rPr>
          <w:rFonts w:cs="B Mitra"/>
          <w:sz w:val="28"/>
          <w:szCs w:val="28"/>
          <w:rtl/>
        </w:rPr>
        <w:t>انما ینهاکم الله عن الذین قاتلوکم فی الدین و اخرجوکم من دیارکم و ظاهروا علی اخراجکم ان تولوهم; یعنی جز این نیست که خداوند شما را از دوستی کردن با کسانی بازمی‏دارد که با شما در دین جنگیده‏اند و از سرزمین خودتان بیرونتان رانده‏اند و بر بیرون راندنتان همدستی کرده‏اند.»</w:t>
      </w:r>
      <w:r w:rsidR="00C1423E">
        <w:rPr>
          <w:rFonts w:cs="B Mitra" w:hint="cs"/>
          <w:sz w:val="28"/>
          <w:szCs w:val="28"/>
          <w:rtl/>
        </w:rPr>
        <w:t>(سوره ممتحنه آیه 9)</w:t>
      </w:r>
    </w:p>
    <w:p w14:paraId="7D9D7910" w14:textId="2D990A3C" w:rsidR="0089785C" w:rsidRDefault="0089785C" w:rsidP="00C1423E">
      <w:pPr>
        <w:bidi/>
        <w:rPr>
          <w:rFonts w:cs="B Mitra"/>
          <w:sz w:val="28"/>
          <w:szCs w:val="28"/>
          <w:rtl/>
        </w:rPr>
      </w:pPr>
      <w:r w:rsidRPr="0089785C">
        <w:rPr>
          <w:rFonts w:cs="B Mitra"/>
          <w:sz w:val="28"/>
          <w:szCs w:val="28"/>
          <w:rtl/>
        </w:rPr>
        <w:t xml:space="preserve"> نیز می‏فرماید</w:t>
      </w:r>
      <w:r w:rsidRPr="0089785C">
        <w:rPr>
          <w:rFonts w:cs="B Mitra"/>
          <w:sz w:val="28"/>
          <w:szCs w:val="28"/>
        </w:rPr>
        <w:t>: «</w:t>
      </w:r>
      <w:r w:rsidRPr="0089785C">
        <w:rPr>
          <w:rFonts w:cs="B Mitra"/>
          <w:sz w:val="28"/>
          <w:szCs w:val="28"/>
          <w:rtl/>
        </w:rPr>
        <w:t>یا ایها الذین آمنوا لاتتخذوا عدوی و عدوکم اولیاء تلقون الیهم بالمودة; یعنی ای کسانی که ایمان آورده‏اید، دشمن مرا و دشمن خود را به دوستی مگیرید و[رشته] محبت به سوی آنان میفکنید.»</w:t>
      </w:r>
      <w:r w:rsidR="00C1423E">
        <w:rPr>
          <w:rFonts w:cs="B Mitra" w:hint="cs"/>
          <w:sz w:val="28"/>
          <w:szCs w:val="28"/>
          <w:rtl/>
        </w:rPr>
        <w:t xml:space="preserve"> </w:t>
      </w:r>
      <w:r w:rsidR="00C1423E">
        <w:rPr>
          <w:rFonts w:cs="B Mitra" w:hint="cs"/>
          <w:sz w:val="28"/>
          <w:szCs w:val="28"/>
          <w:rtl/>
        </w:rPr>
        <w:t xml:space="preserve">(سوره ممتحنه آیه </w:t>
      </w:r>
      <w:r w:rsidR="00C1423E">
        <w:rPr>
          <w:rFonts w:cs="B Mitra" w:hint="cs"/>
          <w:sz w:val="28"/>
          <w:szCs w:val="28"/>
          <w:rtl/>
        </w:rPr>
        <w:t>1</w:t>
      </w:r>
      <w:r w:rsidR="00C1423E">
        <w:rPr>
          <w:rFonts w:cs="B Mitra" w:hint="cs"/>
          <w:sz w:val="28"/>
          <w:szCs w:val="28"/>
          <w:rtl/>
        </w:rPr>
        <w:t>)</w:t>
      </w:r>
      <w:r w:rsidRPr="0089785C">
        <w:rPr>
          <w:rFonts w:cs="B Mitra"/>
          <w:sz w:val="28"/>
          <w:szCs w:val="28"/>
          <w:rtl/>
        </w:rPr>
        <w:t xml:space="preserve"> و بسیاری آیات دیگر در این باب</w:t>
      </w:r>
      <w:r w:rsidRPr="0089785C">
        <w:rPr>
          <w:rFonts w:cs="B Mitra"/>
          <w:sz w:val="28"/>
          <w:szCs w:val="28"/>
        </w:rPr>
        <w:t xml:space="preserve">. </w:t>
      </w:r>
      <w:r w:rsidRPr="0089785C">
        <w:rPr>
          <w:rFonts w:cs="B Mitra"/>
          <w:sz w:val="28"/>
          <w:szCs w:val="28"/>
          <w:rtl/>
        </w:rPr>
        <w:t>بنابراین حاصل جمع ادله آن است که پذیرش صلح و یا پیشنهاد آن به دشمن، شرعا مشروط به وجود مصلحتی در آن است</w:t>
      </w:r>
      <w:r w:rsidRPr="0089785C">
        <w:rPr>
          <w:rFonts w:cs="B Mitra"/>
          <w:sz w:val="28"/>
          <w:szCs w:val="28"/>
        </w:rPr>
        <w:t>.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 xml:space="preserve">وانگهی، این مصلحت منحصر به مواردی که فقهارحمة‏الله علیهم ذکر کرده‏اند از قبیل ضعف مسلمانان و ناتوانی آن‏ها از ایستادگی در برابر کفار، یا امید مسلمان شدن کافران و یا به‏دست آوردن مال از آنان نیست، بلکه با توجه به شرایط خاص </w:t>
      </w:r>
      <w:r w:rsidRPr="0089785C">
        <w:rPr>
          <w:rFonts w:cs="B Mitra"/>
          <w:sz w:val="28"/>
          <w:szCs w:val="28"/>
          <w:rtl/>
        </w:rPr>
        <w:lastRenderedPageBreak/>
        <w:t>هر زمانی، می‏توان مصالح دیگری در نظر گرفت و با توجه به آن‏ها به صلح تن داد; مانند تبلیغ مثبت به سود نظام اسلامی به عنوان نظامی که به دشمنانش پیشنهاد صلح می‏کند، یا ترساندن دشمن دیگری که به دلیل درگیر بودن نظام اسلامی به جنگ، در آن طمع بسته است و می‏خواهد از این فرصت بهره‏برداری کند. در چنین صورتی هرگاه آن دشمن ببیند که امام مسلمین درصدد انعقاد پیمان صلح با دشمن جنگی خود است، می‏هراسد و سودای خامی را که در سر پرورده است، فراموش می‏کند، و مصالح دیگری که ولی‏امر در هر زمان و مکان آن‏ها را تشخیص می‏دهد و طبق آن‏ها عمل می‏کند</w:t>
      </w:r>
      <w:r w:rsidRPr="0089785C">
        <w:rPr>
          <w:rFonts w:cs="B Mitra"/>
          <w:sz w:val="28"/>
          <w:szCs w:val="28"/>
        </w:rPr>
        <w:t>.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ناگفته نماند که این مصالح ـ همچون مصادیق جهاد ـ مراتبی دارد و اهمیت آن‏ها متفاوت است و نمی‏توان دقیقا آن‏ها را معین و منحصر دانست. بلکه امام است که در هر شرایطی تشخیص می‏دهد مصلحت در جهاد است، یا در صلح و با توجه به مهم‏تر بودن هر یک از این مصالح، موضوع مناسب را اتخاذ می‏کند و جنگ یا صلح را برمی‏گزیند</w:t>
      </w:r>
      <w:r w:rsidRPr="0089785C">
        <w:rPr>
          <w:rFonts w:cs="B Mitra"/>
          <w:sz w:val="28"/>
          <w:szCs w:val="28"/>
        </w:rPr>
        <w:t xml:space="preserve">. 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b/>
          <w:bCs/>
          <w:sz w:val="28"/>
          <w:szCs w:val="28"/>
          <w:rtl/>
        </w:rPr>
        <w:t>بنابراین با فرض اینکه مصلحت مراتبی دارد و تن دادن به صلح در هر مرحله‏ای مشروط به آن است که در آن مرحله صلح مهم‏تر از عملیات جهادی باشد ناگزیر باید پذیرفت که گاه، هدنه واجب می‏شود.</w:t>
      </w:r>
      <w:r w:rsidRPr="0089785C">
        <w:rPr>
          <w:rFonts w:cs="B Mitra"/>
          <w:sz w:val="28"/>
          <w:szCs w:val="28"/>
          <w:rtl/>
        </w:rPr>
        <w:t xml:space="preserve"> چنانکه علامه حلی در قواعد بدان تصریح کرده و مرحوم صاحب جواهر آن را پسندیده است ـ زیرا مراتب رجحان، تابع مراتب اهمیت است و چه بسا اهمیت صلح و آرامش، به حدی برسد که، پذیرش آن واجب و تن زدن از آن حرام باشد</w:t>
      </w:r>
      <w:r w:rsidRPr="0089785C">
        <w:rPr>
          <w:rFonts w:cs="B Mitra"/>
          <w:sz w:val="28"/>
          <w:szCs w:val="28"/>
        </w:rPr>
        <w:t>.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لیکن ظاهر گفتار پاره‏ای از فقها و گفتار صریح پاره‏ای دیگر، آن است که هدنه هرگز به مرحله وجوب نمی‏رسد و در هیچ‏حالی واجب نیست و همواره جایز است</w:t>
      </w:r>
      <w:r w:rsidRPr="0089785C">
        <w:rPr>
          <w:rFonts w:cs="B Mitra"/>
          <w:sz w:val="28"/>
          <w:szCs w:val="28"/>
        </w:rPr>
        <w:t xml:space="preserve">. </w:t>
      </w:r>
    </w:p>
    <w:p w14:paraId="5AE12BF4" w14:textId="02B2A110" w:rsidR="0089785C" w:rsidRPr="0089785C" w:rsidRDefault="0089785C" w:rsidP="00C1423E">
      <w:pPr>
        <w:bidi/>
        <w:rPr>
          <w:rFonts w:cs="B Mitra"/>
          <w:sz w:val="28"/>
          <w:szCs w:val="28"/>
        </w:rPr>
      </w:pP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علامه حلی در منتهی و تذکره می‏فرماید: «و الهدنة لیست واجبة علی کل تقدیر، سواء کان بالمسلمین قوة او ضعف. لکنها جایزة; یعنی هدنه در هیچ صورتی واجب نیست، چه مسلمانان نیرومند باشند و چه ناتوان. لیکن جایز است</w:t>
      </w:r>
      <w:r w:rsidRPr="0089785C">
        <w:rPr>
          <w:rFonts w:cs="B Mitra"/>
          <w:sz w:val="28"/>
          <w:szCs w:val="28"/>
        </w:rPr>
        <w:t>.</w:t>
      </w:r>
      <w:r>
        <w:rPr>
          <w:rFonts w:cs="B Mitra" w:hint="cs"/>
          <w:sz w:val="28"/>
          <w:szCs w:val="28"/>
          <w:rtl/>
        </w:rPr>
        <w:t>»</w:t>
      </w:r>
      <w:r w:rsidRPr="0089785C">
        <w:rPr>
          <w:rFonts w:cs="B Mitra"/>
          <w:sz w:val="28"/>
          <w:szCs w:val="28"/>
        </w:rPr>
        <w:t xml:space="preserve"> 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محقق حلی نیز در شرایع می‏فرماید: «و هی جایزة اذا تضمنت مصلحة للمسلمین...; یعنی هدنه اگر دربردارنده مصلحتی برای مسلمانان باشد جایز است.» از ظاهر این گفتار برمی‏آید که هدنه در هیچ وضعی واجب نخواهد گشت، مگر آن که مقصود ایشان از جواز، معنای عام آن در برابر حرمت باشد که شامل وجوب نیز می‏شود</w:t>
      </w:r>
      <w:r w:rsidRPr="0089785C">
        <w:rPr>
          <w:rFonts w:cs="B Mitra"/>
          <w:sz w:val="28"/>
          <w:szCs w:val="28"/>
        </w:rPr>
        <w:t>.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 xml:space="preserve">در هر صورت، از کلام علامه; در مورد عدم وجوب هدنه در هیچ حالتی، چنین به‏دست می‏آید که ایشان دلیل هدنه را که عبارت است از آیه شریفه </w:t>
      </w:r>
      <w:r w:rsidRPr="0089785C">
        <w:rPr>
          <w:rFonts w:cs="B Mitra"/>
          <w:sz w:val="28"/>
          <w:szCs w:val="28"/>
        </w:rPr>
        <w:t>«</w:t>
      </w:r>
      <w:r w:rsidRPr="0089785C">
        <w:rPr>
          <w:rFonts w:cs="B Mitra"/>
          <w:sz w:val="28"/>
          <w:szCs w:val="28"/>
          <w:rtl/>
        </w:rPr>
        <w:t xml:space="preserve">و ان جنحوا للسلم فاجنح لها» و هم‏چنین کریمه </w:t>
      </w:r>
      <w:r w:rsidRPr="0089785C">
        <w:rPr>
          <w:rFonts w:cs="B Mitra"/>
          <w:sz w:val="28"/>
          <w:szCs w:val="28"/>
        </w:rPr>
        <w:t>«</w:t>
      </w:r>
      <w:r w:rsidRPr="0089785C">
        <w:rPr>
          <w:rFonts w:cs="B Mitra"/>
          <w:sz w:val="28"/>
          <w:szCs w:val="28"/>
          <w:rtl/>
        </w:rPr>
        <w:t>ولاتلقوا بایدیکم الی التهلکة‏»، به قرینه ادله‏ای که به جهاد تا سرحد شهادت فرمان می‏دهند، بر جواز این عمل ـ نه وجوب آن حمل کرده است. علامه این ادله را چنین برمی‏شمارد</w:t>
      </w:r>
      <w:r w:rsidRPr="0089785C">
        <w:rPr>
          <w:rFonts w:cs="B Mitra"/>
          <w:sz w:val="28"/>
          <w:szCs w:val="28"/>
        </w:rPr>
        <w:t>: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الف) آیاتی مانند : «یقاتلون فی سبیل الله فیقتلون و یقتلون; یعنی در راه خدا کارزار می‏کنند، پس می‏کشند و کشته می‏شوند</w:t>
      </w:r>
      <w:r w:rsidR="00C1423E">
        <w:rPr>
          <w:rFonts w:cs="B Mitra" w:hint="cs"/>
          <w:sz w:val="28"/>
          <w:szCs w:val="28"/>
          <w:rtl/>
        </w:rPr>
        <w:t>»</w:t>
      </w:r>
      <w:r w:rsidRPr="0089785C">
        <w:rPr>
          <w:rFonts w:cs="B Mitra"/>
          <w:sz w:val="28"/>
          <w:szCs w:val="28"/>
        </w:rPr>
        <w:t>.</w:t>
      </w:r>
      <w:r w:rsidR="00C1423E">
        <w:rPr>
          <w:rFonts w:cs="B Mitra" w:hint="cs"/>
          <w:sz w:val="28"/>
          <w:szCs w:val="28"/>
          <w:rtl/>
        </w:rPr>
        <w:t>(سوره توبه آیه 111)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ب) عمل امام حسین(ع) که جنگید تا به شهادت رسید</w:t>
      </w:r>
      <w:r w:rsidRPr="0089785C">
        <w:rPr>
          <w:rFonts w:cs="B Mitra"/>
          <w:sz w:val="28"/>
          <w:szCs w:val="28"/>
        </w:rPr>
        <w:t xml:space="preserve">. 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 xml:space="preserve">ج) و گروهی را که رسول‏خدا(ص) به سوی هذیل فرستاد، 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lastRenderedPageBreak/>
        <w:t>جنگیدند تا آن که کشته شدند و تنها یک تن از آنان به نام حبیب زنده ماند و اسیر گشت</w:t>
      </w:r>
      <w:r w:rsidRPr="0089785C">
        <w:rPr>
          <w:rFonts w:cs="B Mitra"/>
          <w:sz w:val="28"/>
          <w:szCs w:val="28"/>
        </w:rPr>
        <w:t>.</w:t>
      </w:r>
      <w:r w:rsidRPr="0089785C">
        <w:rPr>
          <w:rFonts w:cs="B Mitra"/>
          <w:sz w:val="28"/>
          <w:szCs w:val="28"/>
        </w:rPr>
        <w:br/>
      </w:r>
      <w:r w:rsidRPr="0089785C">
        <w:rPr>
          <w:rFonts w:cs="B Mitra"/>
          <w:sz w:val="28"/>
          <w:szCs w:val="28"/>
          <w:rtl/>
        </w:rPr>
        <w:t>پس مکلف به مقتضای این دو دلیل قرآنی میان جنگ و صلح مخیر است و می‏تواند در صورتی که مصلحت در صلح باشد، آن را برگزیند. پیامبراکرم(ص) و امامان معصوم: نیز به مقتضای مصلحت و شرایط زمانی، گاهی صلح و گاهی جنگ را برمی‏گزیدند</w:t>
      </w:r>
      <w:r w:rsidRPr="0089785C">
        <w:rPr>
          <w:rFonts w:cs="B Mitra"/>
          <w:sz w:val="28"/>
          <w:szCs w:val="28"/>
        </w:rPr>
        <w:t xml:space="preserve">. </w:t>
      </w:r>
      <w:r w:rsidRPr="0089785C">
        <w:rPr>
          <w:rFonts w:cs="B Mitra"/>
          <w:sz w:val="28"/>
          <w:szCs w:val="28"/>
          <w:rtl/>
        </w:rPr>
        <w:t>پیامبر(ص) و امام حسن(ع) صلح کردند و امام حسین(ع) جنگید. علامه به همین ترتیب استدلال خود را ادامه می‏دهد و صاحب جواهر هنگام تقریر، آن را می‏پسندد</w:t>
      </w:r>
      <w:r w:rsidRPr="0089785C">
        <w:rPr>
          <w:rFonts w:cs="B Mitra"/>
          <w:sz w:val="28"/>
          <w:szCs w:val="28"/>
        </w:rPr>
        <w:t xml:space="preserve">. </w:t>
      </w:r>
      <w:r w:rsidRPr="0089785C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>محقق کرکی در جامع المقاصد براین استدلال اشکال می‏کند و می‏گوید: «امر به جنگ به مقتضای آیه شریفه «ولاتلقوا بایدیکم الی التهلکه‏» مقید به عدم هلاکت است</w:t>
      </w:r>
      <w:r w:rsidR="00C1423E" w:rsidRPr="00C1423E">
        <w:rPr>
          <w:rFonts w:cs="B Mitra"/>
          <w:sz w:val="28"/>
          <w:szCs w:val="28"/>
        </w:rPr>
        <w:t>.</w:t>
      </w:r>
      <w:r w:rsidR="00C1423E">
        <w:rPr>
          <w:rFonts w:cs="B Mitra" w:hint="cs"/>
          <w:sz w:val="28"/>
          <w:szCs w:val="28"/>
          <w:rtl/>
        </w:rPr>
        <w:t>»</w:t>
      </w:r>
      <w:r w:rsidR="00C1423E" w:rsidRPr="00C1423E">
        <w:rPr>
          <w:rFonts w:cs="B Mitra"/>
          <w:sz w:val="28"/>
          <w:szCs w:val="28"/>
        </w:rPr>
        <w:t xml:space="preserve"> 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>لازمه این قید آن است که هرگاه فرض کنیم جنگ به هلاکت انداختن است، واجب است تن به صلح و آتش‏بس بدهیم</w:t>
      </w:r>
      <w:r w:rsidR="00C1423E" w:rsidRPr="00C1423E">
        <w:rPr>
          <w:rFonts w:cs="B Mitra"/>
          <w:sz w:val="28"/>
          <w:szCs w:val="28"/>
        </w:rPr>
        <w:t>.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>ناگفته نماند که لازمه پذیرفتن این قید، حرام بودن جنگ در هر موردی است که موجب هلاکت می‏شود و در این صورت هرگاه جنگ مایه هلاک شدن کسی یا کسانی گردد، جنگ بر آن کس یا آنان حرام خواهد بود، گرچه بر دیگر مسلمانان رزمنده -که خطر هلاکت تهدیدشان نمی‏کند همچنان واجب است</w:t>
      </w:r>
      <w:r w:rsidR="00C1423E" w:rsidRPr="00C1423E">
        <w:rPr>
          <w:rFonts w:cs="B Mitra"/>
          <w:sz w:val="28"/>
          <w:szCs w:val="28"/>
        </w:rPr>
        <w:t xml:space="preserve">. </w:t>
      </w:r>
      <w:r w:rsidR="00C1423E" w:rsidRPr="00C1423E">
        <w:rPr>
          <w:rFonts w:cs="B Mitra"/>
          <w:sz w:val="28"/>
          <w:szCs w:val="28"/>
          <w:rtl/>
        </w:rPr>
        <w:t>بنابراین وجوب پرهیز از هلاکت، اختصاص به مورد صلح ندارد، بلکه شامل هر حرکتی برای نجات از هلاکت‏حتی گریختن از معرکه نیز می‏شود. پس ناگزیر در این صورت فرار نیز چون صلح واجب است؟</w:t>
      </w:r>
      <w:r w:rsidR="00C1423E" w:rsidRPr="00C1423E">
        <w:rPr>
          <w:rFonts w:cs="B Mitra"/>
          <w:sz w:val="28"/>
          <w:szCs w:val="28"/>
        </w:rPr>
        <w:t xml:space="preserve">! 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>شگفتی این سخن ناگفتنی است. ظاهرا صاحب جواهر برای دفع این ملازمه و حذف این نتیجه، بر سخن محقق مذکور، توضیحی افزوده است که «قدر متیقنی چون فرار از جنگ و مانند آن، از عموم حرمت القای نفس در تهلکه خارج است‏</w:t>
      </w:r>
      <w:r w:rsidR="00C1423E" w:rsidRPr="00C1423E">
        <w:rPr>
          <w:rFonts w:cs="B Mitra"/>
          <w:sz w:val="28"/>
          <w:szCs w:val="28"/>
        </w:rPr>
        <w:t>».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 xml:space="preserve">جا دارد بپرسیم که به چه دلیل فرار ـ به سبب دلایل حرمتش ـ از دایره ادله حرمت القای نفس در تهلکه خارج می‏شود؟ چه قرینه ای بر مقدم بودن دلایل حرمت فرار بر دلایل حرمت القای نفس در تهلکه وجود دارد؟ و اگر ملتزم شویم که ادله حرمت القای نفس در تهلکه حاکم بر ادله جهاد است، چرا آن را بر ادله حرمت فرار نیز حاکم ندانیم و بدان ملتزم نشویم؟ و آیا ادله حرمت فرار دلالتشان قوی‏تر، تعدادشان بیش‏تر و مفادشان آشکارتر از ادله جهاد است؟ نه، هرگز چنین نیست. لذا اگر کسی ملتزم شود که ادله حرمت 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>به هلاکت افکندن مقدم بر ادله وجوب جهاد است و با این همه تاکیدات که درباره جهاد صادر شده و وعیدهایی که در صورت ترک آن داده شده است، وجوب آن را مقید به عدم القای نفس در تهلکه بداند ـ همان‏گونه که محقق کرکی بدان ملتزم شده است ناگزیر است که در قبال ادله حرمت فرار نیز تن به این التزام بدهد و همان‏طور که از ظاهر سخن محقق استفاده می‏شود ادله حرمت القای نفس را برآن مقدم بدارد. بنابراین استدراک مرحوم صاحب جواهر، وجهی ندارد</w:t>
      </w:r>
      <w:r w:rsidR="00C1423E" w:rsidRPr="00C1423E">
        <w:rPr>
          <w:rFonts w:cs="B Mitra"/>
          <w:sz w:val="28"/>
          <w:szCs w:val="28"/>
        </w:rPr>
        <w:t>.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>اما حق آن است که مطلب برعکس است و ادله وجوب حفظ نفس و حرمت القای نفس در تهلکه به ادله جهاد مقید است. زیرا روشن است که یکی از مصادیق بارز القای نفس در هلاکت، جهاد واجب است و اگر این فریضه را با این ادله تخصیص بزنیم، تخصیص اکثر لازم می‏آید و چه‏بسا به تعطیل کامل این فریضه الهی خواهد انجامید</w:t>
      </w:r>
      <w:r w:rsidR="00C1423E" w:rsidRPr="00C1423E">
        <w:rPr>
          <w:rFonts w:cs="B Mitra"/>
          <w:sz w:val="28"/>
          <w:szCs w:val="28"/>
        </w:rPr>
        <w:t xml:space="preserve">. 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 xml:space="preserve">پاسخ درست به آن‏چه علامه; درباره دلیل حرمت القای نفس در تهلکه فرموده، آن است که پیش‏تر گفتیم. در مورد دلیل </w:t>
      </w:r>
      <w:r w:rsidR="00C1423E" w:rsidRPr="00C1423E">
        <w:rPr>
          <w:rFonts w:cs="B Mitra"/>
          <w:sz w:val="28"/>
          <w:szCs w:val="28"/>
          <w:rtl/>
        </w:rPr>
        <w:lastRenderedPageBreak/>
        <w:t>صلح نیز پاسخ آن است که سیاق ادله حکم جهاد و حکم صلح و هم‏چنین مناسبت‏حکم و موضوع در هر دو مورد، ما را برآن می‏دارد که بپذیریم جهاد قاعده است و صلح استثنای آن و مقید به داشتن مصلحتی است که اگر به حد الزام برسد، بر جهاد مقدم داشته می‏شود وگرنه به مقتضای مصلحت عمل می‏شود. از جمع و تحلیل ادله چنین استفاده می‏شود والله العالم</w:t>
      </w:r>
      <w:r w:rsidR="00C1423E" w:rsidRPr="00C1423E">
        <w:rPr>
          <w:rFonts w:cs="B Mitra"/>
          <w:sz w:val="28"/>
          <w:szCs w:val="28"/>
        </w:rPr>
        <w:t>.</w:t>
      </w:r>
      <w:r w:rsidR="00C1423E" w:rsidRPr="00C1423E">
        <w:rPr>
          <w:rFonts w:cs="B Mitra"/>
          <w:sz w:val="28"/>
          <w:szCs w:val="28"/>
        </w:rPr>
        <w:br/>
      </w:r>
      <w:r w:rsidR="00C1423E" w:rsidRPr="00C1423E">
        <w:rPr>
          <w:rFonts w:cs="B Mitra"/>
          <w:sz w:val="28"/>
          <w:szCs w:val="28"/>
          <w:rtl/>
        </w:rPr>
        <w:t>اما در پاسخ استدلال به عمل امام حسین(ع) باید گفت</w:t>
      </w:r>
      <w:r w:rsidR="00C1423E" w:rsidRPr="00C1423E">
        <w:rPr>
          <w:rFonts w:cs="B Mitra"/>
          <w:sz w:val="28"/>
          <w:szCs w:val="28"/>
        </w:rPr>
        <w:t xml:space="preserve">: </w:t>
      </w:r>
      <w:r w:rsidR="00C1423E" w:rsidRPr="00C1423E">
        <w:rPr>
          <w:rFonts w:cs="B Mitra"/>
          <w:sz w:val="28"/>
          <w:szCs w:val="28"/>
          <w:rtl/>
        </w:rPr>
        <w:t>اولا، عمل امام از جهتی جهاد دفاعی بوده است. (قیام امام حسین(ع</w:t>
      </w:r>
      <w:r w:rsidR="00C1423E" w:rsidRPr="00C1423E">
        <w:rPr>
          <w:rFonts w:cs="B Mitra"/>
          <w:sz w:val="28"/>
          <w:szCs w:val="28"/>
        </w:rPr>
        <w:t xml:space="preserve">) </w:t>
      </w:r>
      <w:r w:rsidR="00C1423E" w:rsidRPr="00C1423E">
        <w:rPr>
          <w:rFonts w:cs="B Mitra"/>
          <w:sz w:val="28"/>
          <w:szCs w:val="28"/>
          <w:rtl/>
        </w:rPr>
        <w:t>وجوه گوناگونی دارد که به وجهی می‏توان آن را جهادی دفاعی نامید</w:t>
      </w:r>
      <w:r w:rsidR="00C1423E" w:rsidRPr="00C1423E">
        <w:rPr>
          <w:rFonts w:cs="B Mitra"/>
          <w:sz w:val="28"/>
          <w:szCs w:val="28"/>
        </w:rPr>
        <w:t xml:space="preserve">. </w:t>
      </w:r>
      <w:r w:rsidR="00C1423E" w:rsidRPr="00C1423E">
        <w:rPr>
          <w:rFonts w:cs="B Mitra"/>
          <w:sz w:val="28"/>
          <w:szCs w:val="28"/>
          <w:rtl/>
        </w:rPr>
        <w:t>تأمل شود.) ثانیا، «انه قضیة فی واقعة‏»، قیام امام قضیه‏ای است مربوط به واقعه خاصی و از قبیل سنت عملی است که قابل اطلاق یا تقیید نیست و لذا نمی‏توان به اطلاق حکم مستفاد از آن استناد کرد. همین مطلب درباره تقریر پیامبراکرم(ص) در مورد حرکت جهادی گروهی که به سوی قبیله هذیل گسیل داشته بودند، نیز صادق است</w:t>
      </w:r>
      <w:r w:rsidR="00C1423E" w:rsidRPr="00C1423E">
        <w:rPr>
          <w:rFonts w:cs="B Mitra"/>
          <w:sz w:val="28"/>
          <w:szCs w:val="28"/>
        </w:rPr>
        <w:t>.</w:t>
      </w:r>
    </w:p>
    <w:p w14:paraId="5989F621" w14:textId="77777777" w:rsidR="0089785C" w:rsidRPr="0089785C" w:rsidRDefault="0089785C" w:rsidP="0089785C">
      <w:pPr>
        <w:bidi/>
        <w:rPr>
          <w:rFonts w:cs="B Mitra"/>
          <w:sz w:val="28"/>
          <w:szCs w:val="28"/>
        </w:rPr>
      </w:pPr>
    </w:p>
    <w:sectPr w:rsidR="0089785C" w:rsidRPr="0089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5C"/>
    <w:rsid w:val="0089785C"/>
    <w:rsid w:val="00C1423E"/>
    <w:rsid w:val="00C9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9366"/>
  <w15:chartTrackingRefBased/>
  <w15:docId w15:val="{AAB394EF-53D6-4360-A2AA-2D9B2F65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8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78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ln</dc:creator>
  <cp:keywords/>
  <dc:description/>
  <cp:lastModifiedBy>lk ln</cp:lastModifiedBy>
  <cp:revision>1</cp:revision>
  <dcterms:created xsi:type="dcterms:W3CDTF">2025-06-25T09:28:00Z</dcterms:created>
  <dcterms:modified xsi:type="dcterms:W3CDTF">2025-06-25T09:47:00Z</dcterms:modified>
</cp:coreProperties>
</file>